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999999" w:sz="6" w:space="7"/>
        </w:pBdr>
        <w:shd w:val="clear" w:color="auto" w:fill="FFFFFF"/>
        <w:ind w:left="690" w:right="0"/>
        <w:jc w:val="center"/>
        <w:rPr>
          <w:rFonts w:ascii="Verdana" w:hAnsi="Verdana" w:eastAsia="微软雅黑" w:cs="Verdana"/>
          <w:color w:val="333333"/>
          <w:sz w:val="18"/>
          <w:szCs w:val="18"/>
        </w:rPr>
      </w:pPr>
      <w:bookmarkStart w:id="0" w:name="_GoBack"/>
      <w:r>
        <w:rPr>
          <w:rFonts w:hint="default" w:ascii="Verdana" w:hAnsi="Verdana" w:eastAsia="微软雅黑" w:cs="Verdana"/>
          <w:b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关于专业停考和主考学校调整有关工作的通知</w:t>
      </w:r>
    </w:p>
    <w:bookmarkEnd w:id="0"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根据《教育部办公厅关于印发&lt;高等教育自学考试专业设置实施细则&gt;和&lt;高等教育自学考试开考专业清单&gt;的通知》(教职成厅〔2018〕1号)的精神，结合我省开考专业情况和主考学校意见，经研究,决定停考公共关系等专业，调整人力资源管理等专业的主考学校，具体情况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一、停考公共关系(独立本科段)、美术教育(独立本科段)和历史教育(独立本科段)专业。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1.公共关系(独立本科段)、美术教育(独立本科段)和历史教育(独立本科段)专业从2019年起实施停考，不再接受新生（含非停考专业在籍考生）报考。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在停考过渡期内(2019年至2021年上半年)，继续安排以上3个专业的课程考试和毕业审核，实践性环节及毕业论文的最后报名时间为2020年11月。申请以上3个专业毕业的在籍考生，需在过渡期内取得专业考试计划要求的课程合格成绩并办理毕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停考过渡期满，不再安排以上3个专业的所有课程考试。从2021年下半年开始停止颁发毕业证书，已经考试合格的课程和学分继续有效。未获得以上3个专业毕业证书的在籍考生可转入其他正在开考的专业继续学习，具体课程的使用条件应符合转入专业考试计划的要求。与转入专业课程代码和课程名称均一致的课程，在转入专业无需再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二、调整人力资源管理（独立本科段）、行政管理（专科）和行政管理学（独立本科段）专业的主考学校。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从2020年11月的实践性环节报名开始，将人力资源管理（独立本科段）专业的主考学校由北京交通大学调整为河北大学，行政管理（专科）和行政管理学（独立本科段）专业的主考学校由河北大学调整为河北经贸大学。调整后的主考学校将负责2021年及以后主考专业的实践性环节考核（含毕业论文），在毕业证书上副署，参与命题和评卷等自学考试工作。主考学校调整前考生已取得的课程合格成绩（含实践性环节考核和毕业论文）依然有效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2.申请从调整前主考学校毕业的在籍考生，需在2020年底前取得专业考试计划要求的课程合格成绩并办理毕业。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请各有关单位广泛做好宣传工作，及时准确的通知广大考生，认真做好专业停考和主考学校调整的各项善后工作，确保此次停考和调整工作平稳过渡。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附件：1.停考专业一览表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2.调整主考学校一览表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附件1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停考专业一览表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80" w:firstLineChars="200"/>
        <w:textAlignment w:val="auto"/>
        <w:rPr>
          <w:sz w:val="24"/>
          <w:szCs w:val="24"/>
        </w:rPr>
      </w:pPr>
      <w:r>
        <w:rPr>
          <w:rFonts w:ascii="Microsoft YaHei" w:hAnsi="Microsoft YaHei" w:eastAsia="Microsoft YaHei" w:cs="Microsoft YaHei"/>
          <w:color w:val="333333"/>
          <w:sz w:val="24"/>
          <w:szCs w:val="24"/>
        </w:rPr>
        <w:t>附件：1.停考专业一览表</w:t>
      </w:r>
      <w:r>
        <w:rPr>
          <w:rFonts w:ascii="Verdana" w:hAnsi="Verdana" w:eastAsia="微软雅黑" w:cs="Verdana"/>
          <w:color w:val="333333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80" w:firstLineChars="200"/>
        <w:textAlignment w:val="auto"/>
      </w:pPr>
      <w:r>
        <w:rPr>
          <w:rFonts w:hint="default" w:ascii="Microsoft YaHei" w:hAnsi="Microsoft YaHei" w:eastAsia="Microsoft YaHei" w:cs="Microsoft YaHei"/>
          <w:color w:val="333333"/>
          <w:sz w:val="24"/>
          <w:szCs w:val="24"/>
        </w:rPr>
        <w:t>     2.调整主考学校一览表</w:t>
      </w:r>
      <w:r>
        <w:rPr>
          <w:rFonts w:hint="default" w:ascii="Verdana" w:hAnsi="Verdana" w:eastAsia="微软雅黑" w:cs="Verdana"/>
          <w:color w:val="333333"/>
          <w:sz w:val="24"/>
          <w:szCs w:val="24"/>
        </w:rPr>
        <w:t> </w:t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br w:type="textWrapping"/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t> </w:t>
      </w:r>
      <w:r>
        <w:rPr>
          <w:rFonts w:hint="default" w:ascii="Verdana" w:hAnsi="Verdana" w:eastAsia="微软雅黑" w:cs="Verdana"/>
          <w:color w:val="333333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微软雅黑" w:cs="Verdana"/>
          <w:color w:val="333333"/>
          <w:kern w:val="0"/>
          <w:sz w:val="18"/>
          <w:szCs w:val="18"/>
          <w:lang w:val="en-US" w:eastAsia="zh-CN" w:bidi="ar"/>
        </w:rPr>
        <w:t> </w:t>
      </w:r>
      <w:r>
        <w:rPr>
          <w:rFonts w:hint="default" w:ascii="Microsoft YaHei" w:hAnsi="Microsoft YaHei" w:eastAsia="Microsoft YaHei" w:cs="Microsoft YaHei"/>
          <w:color w:val="333333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</w:pPr>
      <w:r>
        <w:rPr>
          <w:rFonts w:ascii="黑体" w:hAnsi="Microsoft YaHei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Microsoft YaHei" w:eastAsia="黑体" w:cs="黑体"/>
          <w:color w:val="333333"/>
          <w:sz w:val="32"/>
          <w:szCs w:val="32"/>
        </w:rPr>
        <w:t>1</w:t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停考专业一览表</w:t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t xml:space="preserve"> </w:t>
      </w:r>
    </w:p>
    <w:tbl>
      <w:tblPr>
        <w:tblStyle w:val="4"/>
        <w:tblW w:w="80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93"/>
        <w:gridCol w:w="3201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序号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专业代码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专业名称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主考学校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</w:pP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050309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公共关系(独立本科段)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050410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美术教育(独立本科段)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河北师范大学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060102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历史教育(独立本科段)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河北师范大学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</w:pPr>
      <w:r>
        <w:rPr>
          <w:rFonts w:hint="eastAsia" w:ascii="黑体" w:hAnsi="Microsoft YaHei" w:eastAsia="黑体" w:cs="黑体"/>
          <w:color w:val="333333"/>
          <w:sz w:val="32"/>
          <w:szCs w:val="32"/>
        </w:rPr>
        <w:t>附件2</w:t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黑体" w:hAnsi="Microsoft YaHei" w:eastAsia="黑体" w:cs="黑体"/>
          <w:color w:val="333333"/>
          <w:sz w:val="32"/>
          <w:szCs w:val="32"/>
        </w:rPr>
        <w:t>调整主考学校一览表</w:t>
      </w:r>
      <w:r>
        <w:rPr>
          <w:rFonts w:hint="default" w:ascii="Microsoft YaHei" w:hAnsi="Microsoft YaHei" w:eastAsia="Microsoft YaHei" w:cs="Microsoft YaHei"/>
          <w:color w:val="333333"/>
          <w:sz w:val="21"/>
          <w:szCs w:val="21"/>
        </w:rPr>
        <w:t xml:space="preserve"> </w:t>
      </w:r>
    </w:p>
    <w:tbl>
      <w:tblPr>
        <w:tblStyle w:val="4"/>
        <w:tblW w:w="81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0"/>
        <w:gridCol w:w="2810"/>
        <w:gridCol w:w="178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序号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专业代码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专业名称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调整前主考学校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调整后主考学校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020218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人力资源管理(独立本科段)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北京交通大学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030301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行政管理(专科)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河北经贸大学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030302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行政管理学(独立本科段)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河北经贸大学</w:t>
            </w:r>
            <w:r>
              <w:rPr>
                <w:rFonts w:hint="default" w:ascii="Verdana" w:hAnsi="Verdana" w:eastAsia="微软雅黑" w:cs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/>
    <w:p>
      <w:pPr>
        <w:rPr>
          <w:rFonts w:hint="eastAsia"/>
          <w:b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2019-02-26T07:18:36Z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